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3059" w14:textId="4D0CDA3C" w:rsidR="00F46E18" w:rsidRDefault="00F46E18" w:rsidP="00473417">
      <w:pPr>
        <w:pStyle w:val="BodyText"/>
        <w:outlineLvl w:val="1"/>
      </w:pPr>
      <w:r>
        <w:t>Presenter: Kris Martens</w:t>
      </w:r>
    </w:p>
    <w:p w14:paraId="10550803" w14:textId="77777777" w:rsidR="00F46E18" w:rsidRDefault="00F46E18" w:rsidP="00F46E18">
      <w:pPr>
        <w:pStyle w:val="BodyText"/>
      </w:pPr>
    </w:p>
    <w:p w14:paraId="766F508E" w14:textId="77777777" w:rsidR="00F46E18" w:rsidRDefault="00F46E18" w:rsidP="00473417">
      <w:pPr>
        <w:pStyle w:val="BodyText"/>
        <w:outlineLvl w:val="1"/>
      </w:pPr>
      <w:r>
        <w:t>Poster</w:t>
      </w:r>
      <w:r>
        <w:rPr>
          <w:spacing w:val="-3"/>
        </w:rPr>
        <w:t xml:space="preserve"> </w:t>
      </w:r>
      <w:r>
        <w:t>Title:</w:t>
      </w:r>
      <w:r>
        <w:rPr>
          <w:spacing w:val="-4"/>
        </w:rPr>
        <w:t xml:space="preserve"> </w:t>
      </w:r>
      <w:r>
        <w:t>Metagenomic</w:t>
      </w:r>
      <w:r>
        <w:rPr>
          <w:spacing w:val="-4"/>
        </w:rPr>
        <w:t xml:space="preserve"> </w:t>
      </w:r>
      <w:r>
        <w:t>sequencing</w:t>
      </w:r>
      <w:r>
        <w:rPr>
          <w:spacing w:val="-5"/>
        </w:rPr>
        <w:t xml:space="preserve"> </w:t>
      </w:r>
      <w:r>
        <w:t>detects</w:t>
      </w:r>
      <w:r>
        <w:rPr>
          <w:spacing w:val="-3"/>
        </w:rPr>
        <w:t xml:space="preserve"> </w:t>
      </w:r>
      <w:r>
        <w:t>injury-specific</w:t>
      </w:r>
      <w:r>
        <w:rPr>
          <w:spacing w:val="-4"/>
        </w:rPr>
        <w:t xml:space="preserve"> </w:t>
      </w:r>
      <w:r>
        <w:t>changes</w:t>
      </w:r>
      <w:r>
        <w:rPr>
          <w:spacing w:val="-3"/>
        </w:rPr>
        <w:t xml:space="preserve"> </w:t>
      </w:r>
      <w:r>
        <w:t>to</w:t>
      </w:r>
      <w:r>
        <w:rPr>
          <w:spacing w:val="-3"/>
        </w:rPr>
        <w:t xml:space="preserve"> </w:t>
      </w:r>
      <w:r>
        <w:t>the</w:t>
      </w:r>
      <w:r>
        <w:rPr>
          <w:spacing w:val="-5"/>
        </w:rPr>
        <w:t xml:space="preserve"> </w:t>
      </w:r>
      <w:r>
        <w:t>microbiome</w:t>
      </w:r>
      <w:r>
        <w:rPr>
          <w:spacing w:val="-4"/>
        </w:rPr>
        <w:t xml:space="preserve"> </w:t>
      </w:r>
      <w:r>
        <w:t>30</w:t>
      </w:r>
      <w:r>
        <w:rPr>
          <w:spacing w:val="-3"/>
        </w:rPr>
        <w:t xml:space="preserve"> </w:t>
      </w:r>
      <w:r>
        <w:t>days following traumatic brain injury in rodents</w:t>
      </w:r>
    </w:p>
    <w:p w14:paraId="741BE3A3" w14:textId="77777777" w:rsidR="00F46E18" w:rsidRDefault="00F46E18" w:rsidP="00F46E18">
      <w:pPr>
        <w:pStyle w:val="BodyText"/>
      </w:pPr>
    </w:p>
    <w:p w14:paraId="44CB7A60" w14:textId="29210DD1" w:rsidR="00F46E18" w:rsidRDefault="00F46E18" w:rsidP="00473417">
      <w:pPr>
        <w:pStyle w:val="BodyText"/>
        <w:outlineLvl w:val="1"/>
      </w:pPr>
      <w:r>
        <w:t>Author:</w:t>
      </w:r>
      <w:r>
        <w:rPr>
          <w:spacing w:val="-5"/>
        </w:rPr>
        <w:t xml:space="preserve"> </w:t>
      </w:r>
      <w:r>
        <w:t>Martens,</w:t>
      </w:r>
      <w:r>
        <w:rPr>
          <w:spacing w:val="-2"/>
        </w:rPr>
        <w:t xml:space="preserve"> </w:t>
      </w:r>
      <w:r>
        <w:t>K.</w:t>
      </w:r>
      <w:r>
        <w:rPr>
          <w:spacing w:val="-3"/>
        </w:rPr>
        <w:t xml:space="preserve"> </w:t>
      </w:r>
      <w:r>
        <w:t>M.,</w:t>
      </w:r>
      <w:r>
        <w:rPr>
          <w:spacing w:val="-4"/>
        </w:rPr>
        <w:t xml:space="preserve"> </w:t>
      </w:r>
      <w:r>
        <w:t>Gratzol,</w:t>
      </w:r>
      <w:r>
        <w:rPr>
          <w:spacing w:val="-1"/>
        </w:rPr>
        <w:t xml:space="preserve"> </w:t>
      </w:r>
      <w:r>
        <w:t>C.,</w:t>
      </w:r>
      <w:r>
        <w:rPr>
          <w:spacing w:val="-4"/>
        </w:rPr>
        <w:t xml:space="preserve"> </w:t>
      </w:r>
      <w:r>
        <w:t>Bressler,</w:t>
      </w:r>
      <w:r>
        <w:rPr>
          <w:spacing w:val="-3"/>
        </w:rPr>
        <w:t xml:space="preserve"> </w:t>
      </w:r>
      <w:r>
        <w:t>N.</w:t>
      </w:r>
      <w:r>
        <w:rPr>
          <w:spacing w:val="-4"/>
        </w:rPr>
        <w:t xml:space="preserve"> </w:t>
      </w:r>
      <w:r>
        <w:t>M.,</w:t>
      </w:r>
      <w:r>
        <w:rPr>
          <w:spacing w:val="-1"/>
        </w:rPr>
        <w:t xml:space="preserve"> </w:t>
      </w:r>
      <w:r>
        <w:t>Bailey,</w:t>
      </w:r>
      <w:r>
        <w:rPr>
          <w:spacing w:val="-4"/>
        </w:rPr>
        <w:t xml:space="preserve"> </w:t>
      </w:r>
      <w:r>
        <w:t>M.</w:t>
      </w:r>
      <w:r>
        <w:rPr>
          <w:spacing w:val="-1"/>
        </w:rPr>
        <w:t xml:space="preserve"> </w:t>
      </w:r>
      <w:r>
        <w:t>T.,</w:t>
      </w:r>
      <w:r>
        <w:rPr>
          <w:spacing w:val="-2"/>
        </w:rPr>
        <w:t xml:space="preserve"> </w:t>
      </w:r>
      <w:r>
        <w:t>&amp;</w:t>
      </w:r>
      <w:r>
        <w:rPr>
          <w:spacing w:val="-3"/>
        </w:rPr>
        <w:t xml:space="preserve"> </w:t>
      </w:r>
      <w:r>
        <w:t>Vonder</w:t>
      </w:r>
      <w:r>
        <w:rPr>
          <w:spacing w:val="-2"/>
        </w:rPr>
        <w:t xml:space="preserve"> </w:t>
      </w:r>
      <w:r>
        <w:t>Haar,</w:t>
      </w:r>
      <w:r>
        <w:rPr>
          <w:spacing w:val="-3"/>
        </w:rPr>
        <w:t xml:space="preserve"> </w:t>
      </w:r>
      <w:r>
        <w:rPr>
          <w:spacing w:val="-5"/>
        </w:rPr>
        <w:t>C.</w:t>
      </w:r>
    </w:p>
    <w:p w14:paraId="0E93525D" w14:textId="77777777" w:rsidR="00F46E18" w:rsidRDefault="00F46E18">
      <w:pPr>
        <w:pStyle w:val="BodyText"/>
      </w:pPr>
    </w:p>
    <w:p w14:paraId="4855E619" w14:textId="7947E0A8" w:rsidR="00F46E18" w:rsidRDefault="00F46E18" w:rsidP="00473417">
      <w:pPr>
        <w:pStyle w:val="BodyText"/>
        <w:outlineLvl w:val="1"/>
      </w:pPr>
      <w:r>
        <w:t>University: Ohio State University</w:t>
      </w:r>
    </w:p>
    <w:p w14:paraId="0E0C1621" w14:textId="77777777" w:rsidR="00F46E18" w:rsidRDefault="00F46E18" w:rsidP="00F46E18">
      <w:pPr>
        <w:pStyle w:val="BodyText"/>
      </w:pPr>
    </w:p>
    <w:p w14:paraId="4B81AE55" w14:textId="77777777" w:rsidR="00473417" w:rsidRDefault="00F46E18" w:rsidP="00473417">
      <w:pPr>
        <w:pStyle w:val="BodyText"/>
        <w:outlineLvl w:val="1"/>
      </w:pPr>
      <w:r>
        <w:t>Departmental Affiliation: Department of Neuroscience</w:t>
      </w:r>
    </w:p>
    <w:p w14:paraId="17364992" w14:textId="77777777" w:rsidR="00473417" w:rsidRDefault="00473417" w:rsidP="00473417">
      <w:pPr>
        <w:pStyle w:val="BodyText"/>
      </w:pPr>
    </w:p>
    <w:p w14:paraId="6CB27E8C" w14:textId="18B12D00" w:rsidR="00F46E18" w:rsidRDefault="00F46E18" w:rsidP="00473417">
      <w:pPr>
        <w:pStyle w:val="BodyText"/>
        <w:outlineLvl w:val="1"/>
      </w:pPr>
      <w:r>
        <w:t>Poster Training Status: Not a Trainee</w:t>
      </w:r>
    </w:p>
    <w:p w14:paraId="5C197BEF" w14:textId="77777777" w:rsidR="009C5BA5" w:rsidRDefault="009C5BA5">
      <w:pPr>
        <w:pStyle w:val="BodyText"/>
        <w:ind w:left="0"/>
      </w:pPr>
    </w:p>
    <w:p w14:paraId="58B46F2B" w14:textId="77777777" w:rsidR="009C5BA5" w:rsidRDefault="00473417" w:rsidP="00473417">
      <w:pPr>
        <w:pStyle w:val="BodyText"/>
        <w:spacing w:line="264" w:lineRule="exact"/>
        <w:outlineLvl w:val="1"/>
      </w:pPr>
      <w:r>
        <w:rPr>
          <w:spacing w:val="-2"/>
        </w:rPr>
        <w:t>Abstract:</w:t>
      </w:r>
    </w:p>
    <w:p w14:paraId="7A682BF8" w14:textId="6441EC0D" w:rsidR="009C5BA5" w:rsidRDefault="00473417" w:rsidP="00473417">
      <w:pPr>
        <w:pStyle w:val="BodyText"/>
        <w:outlineLvl w:val="2"/>
      </w:pPr>
      <w:r>
        <w:t>Traumatic brain injury (TBI) increases risk for psychiatric disease</w:t>
      </w:r>
      <w:r>
        <w:rPr>
          <w:spacing w:val="-4"/>
        </w:rPr>
        <w:t xml:space="preserve"> </w:t>
      </w:r>
      <w:r>
        <w:t>and</w:t>
      </w:r>
      <w:r>
        <w:rPr>
          <w:spacing w:val="-6"/>
        </w:rPr>
        <w:t xml:space="preserve"> </w:t>
      </w:r>
      <w:r>
        <w:t>exacerbates</w:t>
      </w:r>
      <w:r>
        <w:rPr>
          <w:spacing w:val="-4"/>
        </w:rPr>
        <w:t xml:space="preserve"> </w:t>
      </w:r>
      <w:r>
        <w:t>related</w:t>
      </w:r>
      <w:r>
        <w:rPr>
          <w:spacing w:val="-4"/>
        </w:rPr>
        <w:t xml:space="preserve"> </w:t>
      </w:r>
      <w:r>
        <w:t>symptoms</w:t>
      </w:r>
      <w:r>
        <w:rPr>
          <w:spacing w:val="-4"/>
        </w:rPr>
        <w:t xml:space="preserve"> </w:t>
      </w:r>
      <w:r>
        <w:t>such</w:t>
      </w:r>
      <w:r>
        <w:rPr>
          <w:spacing w:val="-4"/>
        </w:rPr>
        <w:t xml:space="preserve"> </w:t>
      </w:r>
      <w:r>
        <w:t>as</w:t>
      </w:r>
      <w:r>
        <w:rPr>
          <w:spacing w:val="-5"/>
        </w:rPr>
        <w:t xml:space="preserve"> </w:t>
      </w:r>
      <w:r>
        <w:t>risky</w:t>
      </w:r>
      <w:r>
        <w:rPr>
          <w:spacing w:val="-4"/>
        </w:rPr>
        <w:t xml:space="preserve"> </w:t>
      </w:r>
      <w:r>
        <w:t>decision-making</w:t>
      </w:r>
      <w:r>
        <w:rPr>
          <w:spacing w:val="-4"/>
        </w:rPr>
        <w:t xml:space="preserve"> </w:t>
      </w:r>
      <w:r>
        <w:t>and</w:t>
      </w:r>
      <w:r>
        <w:rPr>
          <w:spacing w:val="-4"/>
        </w:rPr>
        <w:t xml:space="preserve"> </w:t>
      </w:r>
      <w:r>
        <w:t>impulsivity.</w:t>
      </w:r>
      <w:r>
        <w:rPr>
          <w:spacing w:val="-4"/>
        </w:rPr>
        <w:t xml:space="preserve"> </w:t>
      </w:r>
      <w:r>
        <w:t>Impaired monoamine neurotransmission is a likely contributor to such symptoms, with serotonin signaling contributing to impulsive dysfunction and impaired decision- making. Despite this knowledge, precisely why these systems are vulnerable to TBI is unknown.</w:t>
      </w:r>
      <w:r w:rsidR="00F46E18">
        <w:t xml:space="preserve"> E</w:t>
      </w:r>
      <w:r>
        <w:t>merging</w:t>
      </w:r>
      <w:r>
        <w:rPr>
          <w:spacing w:val="-3"/>
        </w:rPr>
        <w:t xml:space="preserve"> </w:t>
      </w:r>
      <w:r>
        <w:t>data</w:t>
      </w:r>
      <w:r>
        <w:rPr>
          <w:spacing w:val="-4"/>
        </w:rPr>
        <w:t xml:space="preserve"> </w:t>
      </w:r>
      <w:r>
        <w:t>indicate</w:t>
      </w:r>
      <w:r>
        <w:rPr>
          <w:spacing w:val="-4"/>
        </w:rPr>
        <w:t xml:space="preserve"> </w:t>
      </w:r>
      <w:r>
        <w:t>a</w:t>
      </w:r>
      <w:r>
        <w:rPr>
          <w:spacing w:val="-4"/>
        </w:rPr>
        <w:t xml:space="preserve"> </w:t>
      </w:r>
      <w:r>
        <w:t>role</w:t>
      </w:r>
      <w:r>
        <w:rPr>
          <w:spacing w:val="-4"/>
        </w:rPr>
        <w:t xml:space="preserve"> </w:t>
      </w:r>
      <w:r>
        <w:t>for</w:t>
      </w:r>
      <w:r>
        <w:rPr>
          <w:spacing w:val="-3"/>
        </w:rPr>
        <w:t xml:space="preserve"> </w:t>
      </w:r>
      <w:r>
        <w:t>the</w:t>
      </w:r>
      <w:r>
        <w:rPr>
          <w:spacing w:val="-4"/>
        </w:rPr>
        <w:t xml:space="preserve"> </w:t>
      </w:r>
      <w:r>
        <w:t>gut</w:t>
      </w:r>
      <w:r>
        <w:rPr>
          <w:spacing w:val="-4"/>
        </w:rPr>
        <w:t xml:space="preserve"> </w:t>
      </w:r>
      <w:r>
        <w:t>microbiome.</w:t>
      </w:r>
      <w:r>
        <w:rPr>
          <w:spacing w:val="-3"/>
        </w:rPr>
        <w:t xml:space="preserve"> </w:t>
      </w:r>
      <w:r>
        <w:t>Gut</w:t>
      </w:r>
      <w:r>
        <w:rPr>
          <w:spacing w:val="-4"/>
        </w:rPr>
        <w:t xml:space="preserve"> </w:t>
      </w:r>
      <w:r>
        <w:t>dysbiosis</w:t>
      </w:r>
      <w:r>
        <w:rPr>
          <w:spacing w:val="-3"/>
        </w:rPr>
        <w:t xml:space="preserve"> </w:t>
      </w:r>
      <w:r>
        <w:t>occurs</w:t>
      </w:r>
      <w:r>
        <w:rPr>
          <w:spacing w:val="-4"/>
        </w:rPr>
        <w:t xml:space="preserve"> </w:t>
      </w:r>
      <w:r>
        <w:t>rapidly</w:t>
      </w:r>
      <w:r>
        <w:rPr>
          <w:spacing w:val="-3"/>
        </w:rPr>
        <w:t xml:space="preserve"> </w:t>
      </w:r>
      <w:r>
        <w:t>after TBI and may persist for years in patients.</w:t>
      </w:r>
    </w:p>
    <w:p w14:paraId="660E7656" w14:textId="77777777" w:rsidR="004371E8" w:rsidRDefault="004371E8" w:rsidP="00473417">
      <w:pPr>
        <w:pStyle w:val="BodyText"/>
        <w:spacing w:before="1"/>
        <w:ind w:right="101"/>
        <w:outlineLvl w:val="2"/>
      </w:pPr>
    </w:p>
    <w:p w14:paraId="04365B78" w14:textId="33B94811" w:rsidR="009C5BA5" w:rsidRDefault="00473417" w:rsidP="00473417">
      <w:pPr>
        <w:pStyle w:val="BodyText"/>
        <w:spacing w:before="1"/>
        <w:ind w:right="101"/>
        <w:outlineLvl w:val="2"/>
      </w:pPr>
      <w:r>
        <w:t>In a previous study, our lab manipulated the microbiome of rodents using antibiotic dysbiosis. We then assessed function. The findings from the study showed a delay in the onset of TBI symptoms in the antibiotic cocktail group pointing to a potential causal role for the gut microbiome in</w:t>
      </w:r>
      <w:r>
        <w:rPr>
          <w:spacing w:val="-3"/>
        </w:rPr>
        <w:t xml:space="preserve"> </w:t>
      </w:r>
      <w:r>
        <w:t>psychiatric</w:t>
      </w:r>
      <w:r>
        <w:rPr>
          <w:spacing w:val="-4"/>
        </w:rPr>
        <w:t xml:space="preserve"> </w:t>
      </w:r>
      <w:r>
        <w:t>disease</w:t>
      </w:r>
      <w:r>
        <w:rPr>
          <w:spacing w:val="-4"/>
        </w:rPr>
        <w:t xml:space="preserve"> </w:t>
      </w:r>
      <w:r>
        <w:t>following</w:t>
      </w:r>
      <w:r>
        <w:rPr>
          <w:spacing w:val="-3"/>
        </w:rPr>
        <w:t xml:space="preserve"> </w:t>
      </w:r>
      <w:r>
        <w:t>TBI.</w:t>
      </w:r>
      <w:r>
        <w:rPr>
          <w:spacing w:val="-5"/>
        </w:rPr>
        <w:t xml:space="preserve"> </w:t>
      </w:r>
      <w:r>
        <w:t>16S</w:t>
      </w:r>
      <w:r>
        <w:rPr>
          <w:spacing w:val="-3"/>
        </w:rPr>
        <w:t xml:space="preserve"> </w:t>
      </w:r>
      <w:r>
        <w:t>amplicon-based</w:t>
      </w:r>
      <w:r>
        <w:rPr>
          <w:spacing w:val="-3"/>
        </w:rPr>
        <w:t xml:space="preserve"> </w:t>
      </w:r>
      <w:r>
        <w:t>sequencing</w:t>
      </w:r>
      <w:r>
        <w:rPr>
          <w:spacing w:val="-3"/>
        </w:rPr>
        <w:t xml:space="preserve"> </w:t>
      </w:r>
      <w:r>
        <w:t>identified</w:t>
      </w:r>
      <w:r>
        <w:rPr>
          <w:spacing w:val="-3"/>
        </w:rPr>
        <w:t xml:space="preserve"> </w:t>
      </w:r>
      <w:r>
        <w:t>broad</w:t>
      </w:r>
      <w:r>
        <w:rPr>
          <w:spacing w:val="-3"/>
        </w:rPr>
        <w:t xml:space="preserve"> </w:t>
      </w:r>
      <w:r>
        <w:t>changes</w:t>
      </w:r>
      <w:r>
        <w:rPr>
          <w:spacing w:val="-4"/>
        </w:rPr>
        <w:t xml:space="preserve"> </w:t>
      </w:r>
      <w:r>
        <w:t>in</w:t>
      </w:r>
      <w:r>
        <w:rPr>
          <w:spacing w:val="-3"/>
        </w:rPr>
        <w:t xml:space="preserve"> </w:t>
      </w:r>
      <w:r>
        <w:t>the microbiome but could not identify species-level information and injury-specific differences resolved by 14 days post injury. To better understand the mechanisms at play, we performed metagenomic shotgun sequencing. From these data, we were able to construct bacterial metagenome-assembled genomes (MAGs) to determine changes occurring at key time points post injury and at the species level. The results of this st</w:t>
      </w:r>
      <w:r>
        <w:t>udy showed that TBI and antibiotics differentially affected the prevalence of multiple MAGs. These differences persisted 30</w:t>
      </w:r>
      <w:r>
        <w:rPr>
          <w:spacing w:val="-1"/>
        </w:rPr>
        <w:t xml:space="preserve"> </w:t>
      </w:r>
      <w:r>
        <w:t xml:space="preserve">days following injury. Of particular interest to our lab, sequencing identified several MAGs associated with behavioral performance even after accounting for manipulations of TBI and antibiotics identifying potential therapeutic targets in the </w:t>
      </w:r>
      <w:r>
        <w:rPr>
          <w:spacing w:val="-4"/>
        </w:rPr>
        <w:t>gut.</w:t>
      </w:r>
    </w:p>
    <w:sectPr w:rsidR="009C5BA5">
      <w:type w:val="continuous"/>
      <w:pgSz w:w="12240" w:h="15840"/>
      <w:pgMar w:top="16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5"/>
    <w:rsid w:val="00322116"/>
    <w:rsid w:val="004371E8"/>
    <w:rsid w:val="00473417"/>
    <w:rsid w:val="009C5BA5"/>
    <w:rsid w:val="00E8494A"/>
    <w:rsid w:val="00F4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0FAE"/>
  <w15:docId w15:val="{04374989-029C-497C-BD47-EA51C784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1817</Characters>
  <Application>Microsoft Office Word</Application>
  <DocSecurity>4</DocSecurity>
  <Lines>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Martens, Kris</dc:creator>
  <dc:description/>
  <cp:lastModifiedBy>Curtis, Heather</cp:lastModifiedBy>
  <cp:revision>2</cp:revision>
  <dcterms:created xsi:type="dcterms:W3CDTF">2025-01-03T20:46:00Z</dcterms:created>
  <dcterms:modified xsi:type="dcterms:W3CDTF">2025-01-03T20:46:00Z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Acrobat PDFMaker 23 for Word</vt:lpwstr>
  </property>
  <property fmtid="{D5CDD505-2E9C-101B-9397-08002B2CF9AE}" pid="4" name="LastSaved">
    <vt:filetime>2024-12-18T00:00:00Z</vt:filetime>
  </property>
  <property fmtid="{D5CDD505-2E9C-101B-9397-08002B2CF9AE}" pid="5" name="Producer">
    <vt:lpwstr>Adobe PDF Library 23.8.53</vt:lpwstr>
  </property>
  <property fmtid="{D5CDD505-2E9C-101B-9397-08002B2CF9AE}" pid="6" name="SourceModified">
    <vt:lpwstr>D:20240222160003</vt:lpwstr>
  </property>
</Properties>
</file>